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BA" w:rsidRDefault="005D27BA" w:rsidP="005D2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5D27BA" w:rsidRDefault="005D27BA" w:rsidP="005D27BA">
      <w:pPr>
        <w:jc w:val="center"/>
        <w:rPr>
          <w:b/>
          <w:sz w:val="28"/>
          <w:szCs w:val="28"/>
        </w:rPr>
      </w:pPr>
    </w:p>
    <w:p w:rsidR="005D27BA" w:rsidRDefault="005D27BA" w:rsidP="005D27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D27BA" w:rsidRDefault="005D27BA" w:rsidP="005D27BA">
      <w:pPr>
        <w:jc w:val="both"/>
        <w:rPr>
          <w:sz w:val="28"/>
          <w:szCs w:val="28"/>
        </w:rPr>
      </w:pPr>
    </w:p>
    <w:p w:rsidR="005D27BA" w:rsidRDefault="005D27BA" w:rsidP="005D2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3BDA">
        <w:rPr>
          <w:sz w:val="28"/>
          <w:szCs w:val="28"/>
        </w:rPr>
        <w:t>24.11.2022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303BDA">
        <w:rPr>
          <w:sz w:val="28"/>
          <w:szCs w:val="28"/>
        </w:rPr>
        <w:tab/>
      </w:r>
      <w:r w:rsidR="00303BDA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03BDA">
        <w:rPr>
          <w:sz w:val="28"/>
          <w:szCs w:val="28"/>
        </w:rPr>
        <w:t>328</w:t>
      </w:r>
    </w:p>
    <w:p w:rsidR="005D27BA" w:rsidRDefault="005D27BA" w:rsidP="005D27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5D27BA" w:rsidRDefault="005D27BA" w:rsidP="005D27BA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>О внесении изменений в постановление администрации Васюри</w:t>
      </w:r>
      <w:r>
        <w:rPr>
          <w:b/>
          <w:sz w:val="28"/>
          <w:szCs w:val="28"/>
        </w:rPr>
        <w:t>нского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>«Благоустройство территории Васюринского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№100, от 07.06.2022г. №154, от 05.07.2022 г. №188, от 19.09.2022 №247,от 03.10.2022г №254, от 26.10.2022г. №279)</w:t>
      </w:r>
    </w:p>
    <w:p w:rsidR="005D27BA" w:rsidRPr="0099497C" w:rsidRDefault="005D27BA" w:rsidP="005D27BA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:rsidR="005D27BA" w:rsidRPr="0099497C" w:rsidRDefault="005D27BA" w:rsidP="005D27BA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Внести изменения в постановление администрации Васюринского сельского поселения от 11 ноября 2021 № 270 «Об утверждении муниципальной программы «Благоустройство территории Васюринского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>
        <w:rPr>
          <w:sz w:val="28"/>
          <w:szCs w:val="28"/>
        </w:rPr>
        <w:t>,</w:t>
      </w:r>
      <w:r w:rsidRPr="006F405B">
        <w:rPr>
          <w:b/>
          <w:sz w:val="28"/>
          <w:szCs w:val="28"/>
        </w:rPr>
        <w:t xml:space="preserve"> </w:t>
      </w:r>
      <w:r w:rsidRPr="006F405B">
        <w:rPr>
          <w:sz w:val="28"/>
          <w:szCs w:val="28"/>
        </w:rPr>
        <w:t>от 07.06.2022 №154</w:t>
      </w:r>
      <w:r>
        <w:rPr>
          <w:sz w:val="28"/>
          <w:szCs w:val="28"/>
        </w:rPr>
        <w:t>,</w:t>
      </w:r>
      <w:r w:rsidRPr="007852D9">
        <w:rPr>
          <w:b/>
          <w:sz w:val="28"/>
          <w:szCs w:val="28"/>
        </w:rPr>
        <w:t xml:space="preserve"> </w:t>
      </w:r>
      <w:r w:rsidRPr="007852D9">
        <w:rPr>
          <w:sz w:val="28"/>
          <w:szCs w:val="28"/>
        </w:rPr>
        <w:t>от 05.07.2022 №188</w:t>
      </w:r>
      <w:r w:rsidRPr="007538A6">
        <w:rPr>
          <w:sz w:val="28"/>
          <w:szCs w:val="28"/>
        </w:rPr>
        <w:t>, от 19.09.2022 №247</w:t>
      </w:r>
      <w:r w:rsidRPr="004250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50EB">
        <w:rPr>
          <w:sz w:val="28"/>
          <w:szCs w:val="28"/>
        </w:rPr>
        <w:t>от 03.10.2022г №254</w:t>
      </w:r>
      <w:r>
        <w:rPr>
          <w:sz w:val="28"/>
          <w:szCs w:val="28"/>
        </w:rPr>
        <w:t>,</w:t>
      </w:r>
      <w:r w:rsidRPr="00A27E34">
        <w:rPr>
          <w:b/>
          <w:sz w:val="28"/>
          <w:szCs w:val="28"/>
        </w:rPr>
        <w:t xml:space="preserve"> </w:t>
      </w:r>
      <w:r w:rsidRPr="00A27E34">
        <w:rPr>
          <w:sz w:val="28"/>
          <w:szCs w:val="28"/>
        </w:rPr>
        <w:t>от 26.10.2022г. №279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изложив приложение №5 </w:t>
      </w:r>
      <w:r w:rsidRPr="0099497C">
        <w:rPr>
          <w:sz w:val="28"/>
          <w:szCs w:val="28"/>
        </w:rPr>
        <w:t>в новой редакции (прилагается)</w:t>
      </w:r>
    </w:p>
    <w:p w:rsidR="005D27BA" w:rsidRPr="0099497C" w:rsidRDefault="005D27BA" w:rsidP="005D27BA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Начальнику финансового отдела администрации Васюринского сельского поселения (</w:t>
      </w:r>
      <w:proofErr w:type="spellStart"/>
      <w:r w:rsidRPr="0099497C">
        <w:rPr>
          <w:sz w:val="28"/>
          <w:szCs w:val="28"/>
        </w:rPr>
        <w:t>Плешань</w:t>
      </w:r>
      <w:proofErr w:type="spellEnd"/>
      <w:r w:rsidRPr="0099497C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5D27BA" w:rsidRPr="0099497C" w:rsidRDefault="005D27BA" w:rsidP="005D27BA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5D27BA" w:rsidRPr="0099497C" w:rsidRDefault="005D27BA" w:rsidP="005D27BA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D27BA" w:rsidRDefault="005D27BA" w:rsidP="005D27BA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5D27BA" w:rsidRDefault="005D27BA" w:rsidP="005D27BA">
      <w:pPr>
        <w:jc w:val="center"/>
        <w:rPr>
          <w:sz w:val="28"/>
          <w:szCs w:val="28"/>
        </w:rPr>
      </w:pPr>
    </w:p>
    <w:p w:rsidR="005D27BA" w:rsidRPr="005555C8" w:rsidRDefault="005D27BA" w:rsidP="005D27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Васюринского </w:t>
      </w:r>
    </w:p>
    <w:p w:rsidR="005D27BA" w:rsidRDefault="005D27BA" w:rsidP="005D2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</w:p>
    <w:p w:rsidR="005D27BA" w:rsidRDefault="005D27BA" w:rsidP="005D27BA">
      <w:pPr>
        <w:rPr>
          <w:sz w:val="28"/>
          <w:szCs w:val="28"/>
        </w:rPr>
        <w:sectPr w:rsidR="005D27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5D27BA" w:rsidRPr="00ED6B00" w:rsidTr="008C2E90">
        <w:tc>
          <w:tcPr>
            <w:tcW w:w="7968" w:type="dxa"/>
          </w:tcPr>
          <w:p w:rsidR="005D27BA" w:rsidRPr="00ED6B00" w:rsidRDefault="005D27BA" w:rsidP="008C2E90"/>
          <w:p w:rsidR="005D27BA" w:rsidRPr="00ED6B00" w:rsidRDefault="005D27BA" w:rsidP="008C2E90"/>
          <w:p w:rsidR="005D27BA" w:rsidRPr="00ED6B00" w:rsidRDefault="005D27BA" w:rsidP="008C2E90"/>
          <w:p w:rsidR="005D27BA" w:rsidRPr="00ED6B00" w:rsidRDefault="005D27BA" w:rsidP="008C2E90"/>
          <w:p w:rsidR="005D27BA" w:rsidRPr="00ED6B00" w:rsidRDefault="005D27BA" w:rsidP="008C2E90"/>
        </w:tc>
        <w:tc>
          <w:tcPr>
            <w:tcW w:w="7909" w:type="dxa"/>
          </w:tcPr>
          <w:p w:rsidR="005D27BA" w:rsidRPr="00ED6B00" w:rsidRDefault="005D27BA" w:rsidP="008C2E90">
            <w:r w:rsidRPr="00ED6B00">
              <w:t>ПРИЛОЖЕНИЕ № 5</w:t>
            </w:r>
          </w:p>
          <w:p w:rsidR="00303BDA" w:rsidRDefault="005D27BA" w:rsidP="008C2E90">
            <w:r w:rsidRPr="00ED6B00"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:rsidR="005D27BA" w:rsidRPr="00ED6B00" w:rsidRDefault="005D27BA" w:rsidP="008C2E90">
            <w:bookmarkStart w:id="0" w:name="_GoBack"/>
            <w:r w:rsidRPr="00ED6B00">
              <w:t xml:space="preserve">от </w:t>
            </w:r>
            <w:r w:rsidR="00303BDA">
              <w:t xml:space="preserve">24.11.2022 </w:t>
            </w:r>
            <w:r w:rsidRPr="00ED6B00">
              <w:t>№</w:t>
            </w:r>
            <w:r w:rsidR="00303BDA">
              <w:t xml:space="preserve"> 328</w:t>
            </w:r>
            <w:bookmarkEnd w:id="0"/>
            <w:r w:rsidRPr="00ED6B00">
              <w:t>____</w:t>
            </w:r>
          </w:p>
        </w:tc>
      </w:tr>
    </w:tbl>
    <w:p w:rsidR="005D27BA" w:rsidRPr="00ED6B00" w:rsidRDefault="005D27BA" w:rsidP="005D27BA">
      <w:pPr>
        <w:ind w:right="-284"/>
        <w:jc w:val="center"/>
        <w:rPr>
          <w:b/>
        </w:rPr>
      </w:pPr>
    </w:p>
    <w:p w:rsidR="005D27BA" w:rsidRPr="00ED6B00" w:rsidRDefault="005D27BA" w:rsidP="005D27BA">
      <w:pPr>
        <w:jc w:val="center"/>
        <w:rPr>
          <w:b/>
          <w:color w:val="2D2D2D"/>
          <w:shd w:val="clear" w:color="auto" w:fill="FFFFFF"/>
        </w:rPr>
      </w:pPr>
      <w:r w:rsidRPr="00ED6B00">
        <w:rPr>
          <w:b/>
          <w:color w:val="2D2D2D"/>
          <w:shd w:val="clear" w:color="auto" w:fill="FFFFFF"/>
        </w:rPr>
        <w:t xml:space="preserve">ПЕРЕЧЕНЬ МЕРОПРИЯТИЙ ПОДПРОГРАММЫ </w:t>
      </w:r>
    </w:p>
    <w:p w:rsidR="005D27BA" w:rsidRPr="00ED6B00" w:rsidRDefault="005D27BA" w:rsidP="005D27BA">
      <w:pPr>
        <w:ind w:right="-284"/>
        <w:jc w:val="center"/>
        <w:rPr>
          <w:b/>
        </w:rPr>
      </w:pPr>
      <w:r w:rsidRPr="00ED6B00">
        <w:rPr>
          <w:b/>
        </w:rPr>
        <w:t>«Уличное освещение»</w:t>
      </w:r>
    </w:p>
    <w:p w:rsidR="005D27BA" w:rsidRPr="00ED6B00" w:rsidRDefault="005D27BA" w:rsidP="005D27BA">
      <w:pPr>
        <w:jc w:val="center"/>
      </w:pPr>
      <w:r w:rsidRPr="00ED6B00">
        <w:t>муниципальной программы «Благоустройство территории Васюринского сельского поселения»</w:t>
      </w:r>
    </w:p>
    <w:p w:rsidR="005D27BA" w:rsidRPr="005555C8" w:rsidRDefault="005D27BA" w:rsidP="005D27B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552"/>
        <w:gridCol w:w="1134"/>
        <w:gridCol w:w="992"/>
        <w:gridCol w:w="992"/>
        <w:gridCol w:w="709"/>
        <w:gridCol w:w="992"/>
        <w:gridCol w:w="1701"/>
        <w:gridCol w:w="1305"/>
      </w:tblGrid>
      <w:tr w:rsidR="005D27BA" w:rsidRPr="005555C8" w:rsidTr="008C2E90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</w:pPr>
            <w:r w:rsidRPr="00ED6B00">
              <w:t>№</w:t>
            </w:r>
          </w:p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</w:pPr>
            <w:r w:rsidRPr="00ED6B00"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Объем финансирования,</w:t>
            </w:r>
          </w:p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всего</w:t>
            </w:r>
          </w:p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ED6B00">
              <w:rPr>
                <w:color w:val="2D2D2D"/>
                <w:shd w:val="clear" w:color="auto" w:fill="FFFFFF"/>
              </w:rPr>
              <w:t>Непосредственный</w:t>
            </w:r>
          </w:p>
          <w:p w:rsidR="005D27BA" w:rsidRPr="00ED6B00" w:rsidRDefault="005D27BA" w:rsidP="008C2E90">
            <w:pPr>
              <w:spacing w:line="216" w:lineRule="auto"/>
              <w:ind w:left="-113" w:right="-57"/>
              <w:jc w:val="center"/>
            </w:pPr>
            <w:r w:rsidRPr="00ED6B00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ED6B00">
              <w:rPr>
                <w:shd w:val="clear" w:color="auto" w:fill="FFFFFF"/>
              </w:rPr>
              <w:t>Участник подпрограммы</w:t>
            </w:r>
          </w:p>
          <w:p w:rsidR="005D27BA" w:rsidRPr="00ED6B00" w:rsidRDefault="005D27BA" w:rsidP="008C2E9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5D27BA" w:rsidRPr="005555C8" w:rsidTr="008C2E90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2-й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…</w:t>
            </w:r>
          </w:p>
        </w:tc>
        <w:tc>
          <w:tcPr>
            <w:tcW w:w="992" w:type="dxa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rPr>
                <w:lang w:val="en-US"/>
              </w:rPr>
              <w:t>N</w:t>
            </w:r>
            <w:r w:rsidRPr="00ED6B00">
              <w:t xml:space="preserve"> год реализации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</w:tr>
      <w:tr w:rsidR="005D27BA" w:rsidRPr="005555C8" w:rsidTr="008C2E90">
        <w:tc>
          <w:tcPr>
            <w:tcW w:w="821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3965" w:type="dxa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10</w:t>
            </w:r>
          </w:p>
        </w:tc>
      </w:tr>
      <w:tr w:rsidR="005D27BA" w:rsidRPr="005555C8" w:rsidTr="008C2E90">
        <w:tc>
          <w:tcPr>
            <w:tcW w:w="821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</w:t>
            </w:r>
          </w:p>
        </w:tc>
        <w:tc>
          <w:tcPr>
            <w:tcW w:w="14342" w:type="dxa"/>
            <w:gridSpan w:val="9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5D27BA" w:rsidRPr="005555C8" w:rsidTr="008C2E90">
        <w:tc>
          <w:tcPr>
            <w:tcW w:w="821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1.1</w:t>
            </w:r>
          </w:p>
        </w:tc>
        <w:tc>
          <w:tcPr>
            <w:tcW w:w="14342" w:type="dxa"/>
            <w:gridSpan w:val="9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Задача: Формирование эффективной системы управления, основанной на применении совре</w:t>
            </w:r>
            <w:r w:rsidRPr="00ED6B00"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ED6B00">
              <w:rPr>
                <w:spacing w:val="-1"/>
              </w:rPr>
              <w:t xml:space="preserve">эксплуатации систем наружного освещения </w:t>
            </w:r>
            <w:r w:rsidRPr="00ED6B00">
              <w:t>поселения, повышение уровня комфортности проживания населения, снижение вероятности возникновения крими</w:t>
            </w:r>
            <w:r w:rsidRPr="00ED6B00">
              <w:softHyphen/>
              <w:t>ногенной обстановки, создание безопасных условий дорожного дви</w:t>
            </w:r>
            <w:r w:rsidRPr="00ED6B00">
              <w:softHyphen/>
              <w:t>жения.</w:t>
            </w:r>
          </w:p>
        </w:tc>
      </w:tr>
      <w:tr w:rsidR="005D27BA" w:rsidRPr="005555C8" w:rsidTr="008C2E90">
        <w:tc>
          <w:tcPr>
            <w:tcW w:w="82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Мероприятие № 1 Оплата за потребленную электроэнергию уличного освещения</w:t>
            </w:r>
          </w:p>
          <w:p w:rsidR="005D27BA" w:rsidRPr="00ED6B00" w:rsidRDefault="005D27BA" w:rsidP="008C2E90">
            <w:pPr>
              <w:spacing w:line="216" w:lineRule="auto"/>
            </w:pPr>
            <w:r w:rsidRPr="00ED6B00">
              <w:t xml:space="preserve">в Центральном парке, парке школы № 14, по улицам Северная, </w:t>
            </w:r>
            <w:proofErr w:type="spellStart"/>
            <w:r w:rsidRPr="00ED6B00">
              <w:t>Ставского</w:t>
            </w:r>
            <w:proofErr w:type="spellEnd"/>
            <w:r w:rsidRPr="00ED6B00">
              <w:t xml:space="preserve">, </w:t>
            </w:r>
            <w:proofErr w:type="spellStart"/>
            <w:r w:rsidRPr="00ED6B00">
              <w:t>Ивко</w:t>
            </w:r>
            <w:proofErr w:type="spellEnd"/>
            <w:r w:rsidRPr="00ED6B00">
              <w:t xml:space="preserve">, Ленина, Западная, Суворова, Новая, Восточная, Степная, </w:t>
            </w:r>
            <w:proofErr w:type="spellStart"/>
            <w:r w:rsidRPr="00ED6B00">
              <w:t>К.Маркса</w:t>
            </w:r>
            <w:proofErr w:type="spellEnd"/>
            <w:r w:rsidRPr="00ED6B00"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</w:t>
            </w:r>
            <w:proofErr w:type="spellStart"/>
            <w:r w:rsidRPr="00ED6B00">
              <w:t>Редутская</w:t>
            </w:r>
            <w:proofErr w:type="spellEnd"/>
            <w:r w:rsidRPr="00ED6B00">
              <w:t xml:space="preserve">, Пролетарская, </w:t>
            </w:r>
            <w:proofErr w:type="spellStart"/>
            <w:r w:rsidRPr="00ED6B00">
              <w:t>Матвеевская</w:t>
            </w:r>
            <w:proofErr w:type="spellEnd"/>
            <w:r w:rsidRPr="00ED6B00">
              <w:t xml:space="preserve">, Пионерская, Кропоткина, переулки Больничный, Северный, Ленина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27BA" w:rsidRPr="00ED6B00" w:rsidRDefault="005D27BA" w:rsidP="008C2E9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2</w:t>
            </w:r>
            <w:r>
              <w:t xml:space="preserve"> 76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2</w:t>
            </w:r>
            <w:r>
              <w:t xml:space="preserve"> 76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2</w:t>
            </w:r>
            <w:r>
              <w:t xml:space="preserve"> 76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2</w:t>
            </w:r>
            <w:r>
              <w:t xml:space="preserve"> 76</w:t>
            </w:r>
            <w:r w:rsidRPr="00ED6B00">
              <w:t>0,0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Мероприятие № 2</w:t>
            </w:r>
          </w:p>
          <w:p w:rsidR="005D27BA" w:rsidRPr="00ED6B00" w:rsidRDefault="005D27BA" w:rsidP="008C2E90">
            <w:r w:rsidRPr="00ED6B00">
              <w:lastRenderedPageBreak/>
              <w:t xml:space="preserve">Проведение технического обслуживания уличного освещения, замена старых светильников по улицам ст. </w:t>
            </w:r>
            <w:proofErr w:type="spellStart"/>
            <w:r w:rsidRPr="00ED6B00">
              <w:t>Васюринской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>
              <w:t>2 931</w:t>
            </w:r>
            <w:r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>
              <w:t>2 931</w:t>
            </w:r>
            <w:r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 xml:space="preserve">Администрация </w:t>
            </w:r>
            <w:r w:rsidRPr="00ED6B00">
              <w:lastRenderedPageBreak/>
              <w:t>Васюринского сельского поселения</w:t>
            </w: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r>
              <w:t>2 931</w:t>
            </w:r>
            <w:r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r>
              <w:t>2 931</w:t>
            </w:r>
            <w:r w:rsidRPr="00ED6B00">
              <w:t>,9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052FA7" w:rsidTr="008C2E90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052FA7" w:rsidTr="008C2E90">
        <w:tc>
          <w:tcPr>
            <w:tcW w:w="82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 xml:space="preserve">Технологическое присоединение энергопринимающих устройств по ул. Новая; </w:t>
            </w:r>
          </w:p>
          <w:p w:rsidR="005D27BA" w:rsidRPr="00ED6B00" w:rsidRDefault="005D27BA" w:rsidP="008C2E90">
            <w:pPr>
              <w:spacing w:line="216" w:lineRule="auto"/>
            </w:pPr>
            <w:r w:rsidRPr="00ED6B00">
              <w:t xml:space="preserve">на проектируемый объект сквер им. Глинского, </w:t>
            </w:r>
          </w:p>
          <w:p w:rsidR="005D27BA" w:rsidRPr="00ED6B00" w:rsidRDefault="005D27BA" w:rsidP="008C2E90">
            <w:pPr>
              <w:spacing w:line="216" w:lineRule="auto"/>
            </w:pPr>
            <w:r w:rsidRPr="00ED6B00">
              <w:t xml:space="preserve">ул. Суворова </w:t>
            </w: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5D27BA" w:rsidRPr="00052FA7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052FA7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052FA7" w:rsidTr="008C2E90">
        <w:tc>
          <w:tcPr>
            <w:tcW w:w="82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r w:rsidRPr="00ED6B00">
              <w:t>132,1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052FA7" w:rsidTr="008C2E90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</w:p>
        </w:tc>
      </w:tr>
      <w:tr w:rsidR="005D27BA" w:rsidRPr="005555C8" w:rsidTr="008C2E90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Итого</w:t>
            </w: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>
              <w:t>5 824</w:t>
            </w:r>
            <w:r w:rsidRPr="00ED6B00">
              <w:t>,0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>
              <w:t>5 824</w:t>
            </w:r>
            <w:r w:rsidRPr="00ED6B00">
              <w:t>,0</w:t>
            </w: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5D27BA" w:rsidRPr="00ED6B00" w:rsidRDefault="005D27BA" w:rsidP="008C2E90">
            <w:pPr>
              <w:spacing w:line="216" w:lineRule="auto"/>
              <w:jc w:val="center"/>
            </w:pPr>
            <w:r w:rsidRPr="00ED6B00">
              <w:t>Администрация Васюринского сельского поселения</w:t>
            </w:r>
          </w:p>
        </w:tc>
      </w:tr>
      <w:tr w:rsidR="005D27BA" w:rsidRPr="005555C8" w:rsidTr="008C2E90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D27BA" w:rsidRPr="005555C8" w:rsidTr="008C2E90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D27BA" w:rsidRPr="005555C8" w:rsidTr="008C2E90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>
              <w:t>5 824</w:t>
            </w:r>
            <w:r w:rsidRPr="00ED6B00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>
              <w:t>5 824</w:t>
            </w:r>
            <w:r w:rsidRPr="00ED6B00"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5D27BA" w:rsidRPr="005555C8" w:rsidTr="008C2E90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  <w:r w:rsidRPr="00ED6B00"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7BA" w:rsidRPr="00ED6B00" w:rsidRDefault="005D27BA" w:rsidP="008C2E90">
            <w:pPr>
              <w:spacing w:line="216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7BA" w:rsidRPr="005555C8" w:rsidRDefault="005D27BA" w:rsidP="008C2E90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5D27BA" w:rsidRDefault="005D27BA" w:rsidP="005D27BA">
      <w:pPr>
        <w:ind w:left="708" w:right="-2" w:hanging="708"/>
        <w:rPr>
          <w:sz w:val="28"/>
          <w:szCs w:val="28"/>
        </w:rPr>
      </w:pPr>
    </w:p>
    <w:p w:rsidR="005D27BA" w:rsidRDefault="005D27BA" w:rsidP="005D27BA">
      <w:pPr>
        <w:ind w:left="708" w:right="-2" w:hanging="708"/>
        <w:rPr>
          <w:sz w:val="28"/>
          <w:szCs w:val="28"/>
        </w:rPr>
      </w:pPr>
    </w:p>
    <w:p w:rsidR="005D27BA" w:rsidRDefault="005D27BA" w:rsidP="005D27BA">
      <w:pPr>
        <w:ind w:left="708" w:right="-2" w:hanging="708"/>
        <w:rPr>
          <w:sz w:val="28"/>
          <w:szCs w:val="28"/>
        </w:rPr>
      </w:pPr>
    </w:p>
    <w:p w:rsidR="005D27BA" w:rsidRPr="00F20E79" w:rsidRDefault="005D27BA" w:rsidP="005D27BA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>Специалис</w:t>
      </w:r>
      <w:r>
        <w:rPr>
          <w:sz w:val="28"/>
          <w:szCs w:val="28"/>
        </w:rPr>
        <w:t>т отдела ЖКХ</w:t>
      </w:r>
    </w:p>
    <w:p w:rsidR="005D27BA" w:rsidRPr="00F20E79" w:rsidRDefault="005D27BA" w:rsidP="005D27BA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 xml:space="preserve">администрации Васюринского </w:t>
      </w:r>
    </w:p>
    <w:p w:rsidR="005D27BA" w:rsidRDefault="005D27BA" w:rsidP="005D27BA">
      <w:pPr>
        <w:ind w:left="708" w:right="-2" w:hanging="708"/>
        <w:rPr>
          <w:sz w:val="28"/>
          <w:szCs w:val="28"/>
        </w:rPr>
        <w:sectPr w:rsidR="005D27BA" w:rsidSect="00916261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20E79">
        <w:rPr>
          <w:sz w:val="28"/>
          <w:szCs w:val="28"/>
        </w:rPr>
        <w:t>сельского поселения</w:t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>
        <w:rPr>
          <w:sz w:val="28"/>
          <w:szCs w:val="28"/>
        </w:rPr>
        <w:t>Штуканева</w:t>
      </w:r>
      <w:proofErr w:type="spellEnd"/>
    </w:p>
    <w:p w:rsidR="00DA52A2" w:rsidRDefault="00DA52A2"/>
    <w:sectPr w:rsidR="00D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BA"/>
    <w:rsid w:val="00063FCE"/>
    <w:rsid w:val="000809A5"/>
    <w:rsid w:val="00303BDA"/>
    <w:rsid w:val="005D27BA"/>
    <w:rsid w:val="009C0916"/>
    <w:rsid w:val="00DA52A2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E792"/>
  <w15:chartTrackingRefBased/>
  <w15:docId w15:val="{FF18CD87-79B9-47E2-AF80-2D2D1E8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2</cp:revision>
  <dcterms:created xsi:type="dcterms:W3CDTF">2022-11-24T13:37:00Z</dcterms:created>
  <dcterms:modified xsi:type="dcterms:W3CDTF">2022-11-25T11:24:00Z</dcterms:modified>
</cp:coreProperties>
</file>