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bookmarkStart w:id="0" w:name="_GoBack"/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9C1780">
        <w:rPr>
          <w:sz w:val="28"/>
          <w:szCs w:val="28"/>
        </w:rPr>
        <w:t>27.01.2022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C1780">
        <w:rPr>
          <w:sz w:val="28"/>
          <w:szCs w:val="28"/>
        </w:rPr>
        <w:t xml:space="preserve"> 17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 xml:space="preserve">сельского поселения Динского района, п о с </w:t>
      </w:r>
      <w:proofErr w:type="gramStart"/>
      <w:r w:rsidRPr="007E52EF">
        <w:rPr>
          <w:sz w:val="28"/>
          <w:szCs w:val="28"/>
        </w:rPr>
        <w:t>т</w:t>
      </w:r>
      <w:proofErr w:type="gramEnd"/>
      <w:r w:rsidRPr="007E52EF">
        <w:rPr>
          <w:sz w:val="28"/>
          <w:szCs w:val="28"/>
        </w:rPr>
        <w:t xml:space="preserve">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1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1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EB639A" w:rsidRDefault="00EB639A" w:rsidP="006174E6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332336">
            <w:pPr>
              <w:ind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от </w:t>
            </w:r>
            <w:r w:rsidR="009C1780">
              <w:rPr>
                <w:sz w:val="28"/>
                <w:szCs w:val="28"/>
              </w:rPr>
              <w:t xml:space="preserve">27.01.2022 </w:t>
            </w:r>
            <w:r w:rsidRPr="00BF3BB9">
              <w:rPr>
                <w:sz w:val="28"/>
                <w:szCs w:val="28"/>
              </w:rPr>
              <w:t>№</w:t>
            </w:r>
            <w:r w:rsidR="009C1780">
              <w:rPr>
                <w:sz w:val="28"/>
                <w:szCs w:val="28"/>
              </w:rPr>
              <w:t xml:space="preserve"> 17</w:t>
            </w:r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2018 - 2024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204DD5">
              <w:rPr>
                <w:color w:val="FF0000"/>
                <w:sz w:val="28"/>
                <w:szCs w:val="28"/>
              </w:rPr>
              <w:t>96</w:t>
            </w:r>
            <w:r w:rsidR="006174E6">
              <w:rPr>
                <w:color w:val="FF0000"/>
                <w:sz w:val="28"/>
                <w:szCs w:val="28"/>
              </w:rPr>
              <w:t>975</w:t>
            </w:r>
            <w:r w:rsidR="00204DD5">
              <w:rPr>
                <w:color w:val="FF0000"/>
                <w:sz w:val="28"/>
                <w:szCs w:val="28"/>
              </w:rPr>
              <w:t>,1</w:t>
            </w:r>
            <w:r w:rsidRPr="00F71D49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19664,9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F71D49">
              <w:rPr>
                <w:sz w:val="28"/>
                <w:szCs w:val="28"/>
              </w:rPr>
              <w:t>63000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>
              <w:rPr>
                <w:sz w:val="28"/>
                <w:szCs w:val="28"/>
              </w:rPr>
              <w:t>1</w:t>
            </w:r>
            <w:r w:rsidR="005670A9">
              <w:rPr>
                <w:sz w:val="28"/>
                <w:szCs w:val="28"/>
              </w:rPr>
              <w:t>955,2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355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F71D49">
              <w:rPr>
                <w:sz w:val="28"/>
                <w:szCs w:val="28"/>
              </w:rPr>
              <w:t>12000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 год - 0,0 тыс. рублей.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ходе проведения инвентаризации дворовых, общественных территорий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2018 - 2024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16. Необходимо обеспечивать обязательное завершение реализации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программы, запланированных в соответствующем финансовом году.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204DD5">
        <w:rPr>
          <w:rFonts w:ascii="Times New Roman" w:hAnsi="Times New Roman" w:cs="Times New Roman"/>
          <w:color w:val="FF0000"/>
          <w:sz w:val="28"/>
          <w:szCs w:val="28"/>
        </w:rPr>
        <w:t>96</w:t>
      </w:r>
      <w:r w:rsidR="006174E6">
        <w:rPr>
          <w:rFonts w:ascii="Times New Roman" w:hAnsi="Times New Roman" w:cs="Times New Roman"/>
          <w:color w:val="FF0000"/>
          <w:sz w:val="28"/>
          <w:szCs w:val="28"/>
        </w:rPr>
        <w:t>975</w:t>
      </w:r>
      <w:r w:rsidR="00204DD5">
        <w:rPr>
          <w:rFonts w:ascii="Times New Roman" w:hAnsi="Times New Roman" w:cs="Times New Roman"/>
          <w:color w:val="FF0000"/>
          <w:sz w:val="28"/>
          <w:szCs w:val="28"/>
        </w:rPr>
        <w:t>,1</w:t>
      </w:r>
      <w:r w:rsidRPr="009D3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EB639A" w:rsidRPr="00350D96" w:rsidTr="003323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3323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3323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EB639A" w:rsidRPr="00350D96" w:rsidRDefault="006174E6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6174E6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323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EB639A" w:rsidRPr="00350D96" w:rsidRDefault="009D3C1B" w:rsidP="006174E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174E6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9D3C1B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82664,9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617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4E6"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31.08.2017 №655 "Об утверждении государственной программы Краснодарского края "Формирование современной городской среды".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3310EF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310EF" w:rsidRDefault="00EB639A" w:rsidP="00EB63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26.1.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26.3.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>
        <w:t>4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4"/>
        <w:gridCol w:w="963"/>
        <w:gridCol w:w="992"/>
        <w:gridCol w:w="1134"/>
        <w:gridCol w:w="993"/>
        <w:gridCol w:w="1701"/>
        <w:gridCol w:w="1984"/>
        <w:gridCol w:w="1843"/>
        <w:gridCol w:w="1701"/>
        <w:gridCol w:w="1547"/>
      </w:tblGrid>
      <w:tr w:rsidR="00EB639A" w:rsidRPr="005A61AF" w:rsidTr="00E66CD0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10903" w:type="dxa"/>
            <w:gridSpan w:val="7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B639A" w:rsidRPr="005A61AF" w:rsidTr="00E66CD0">
        <w:trPr>
          <w:trHeight w:val="394"/>
          <w:tblHeader/>
        </w:trPr>
        <w:tc>
          <w:tcPr>
            <w:tcW w:w="851" w:type="dxa"/>
            <w:vMerge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EB639A" w:rsidRPr="005A61AF" w:rsidRDefault="00EB639A" w:rsidP="00332336">
            <w:pPr>
              <w:spacing w:line="20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>
              <w:t>2024</w:t>
            </w:r>
          </w:p>
        </w:tc>
      </w:tr>
      <w:tr w:rsidR="00EB639A" w:rsidRPr="005A61AF" w:rsidTr="00E66CD0">
        <w:trPr>
          <w:trHeight w:val="179"/>
          <w:tblHeader/>
        </w:trPr>
        <w:tc>
          <w:tcPr>
            <w:tcW w:w="851" w:type="dxa"/>
          </w:tcPr>
          <w:p w:rsidR="00EB639A" w:rsidRPr="005A61AF" w:rsidRDefault="00EB639A" w:rsidP="00332336">
            <w:pPr>
              <w:jc w:val="center"/>
            </w:pPr>
            <w:r w:rsidRPr="005A61AF">
              <w:t>1</w:t>
            </w:r>
          </w:p>
        </w:tc>
        <w:tc>
          <w:tcPr>
            <w:tcW w:w="2014" w:type="dxa"/>
          </w:tcPr>
          <w:p w:rsidR="00EB639A" w:rsidRPr="005A61AF" w:rsidRDefault="00EB639A" w:rsidP="00332336">
            <w:pPr>
              <w:jc w:val="center"/>
            </w:pPr>
            <w:r w:rsidRPr="005A61AF">
              <w:t>2</w:t>
            </w:r>
          </w:p>
        </w:tc>
        <w:tc>
          <w:tcPr>
            <w:tcW w:w="963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EB639A" w:rsidRPr="005A61AF" w:rsidRDefault="00EB639A" w:rsidP="00332336">
            <w:pPr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5</w:t>
            </w:r>
          </w:p>
        </w:tc>
        <w:tc>
          <w:tcPr>
            <w:tcW w:w="993" w:type="dxa"/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EB639A" w:rsidRPr="005A61AF" w:rsidRDefault="00EB639A" w:rsidP="00332336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639A" w:rsidRPr="005A61AF" w:rsidRDefault="00EB639A" w:rsidP="00332336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B639A" w:rsidRPr="005A61AF" w:rsidRDefault="00EB639A" w:rsidP="0033233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B639A" w:rsidRDefault="00EB639A" w:rsidP="00332336">
            <w:pPr>
              <w:jc w:val="center"/>
            </w:pPr>
            <w:r>
              <w:t>10</w:t>
            </w:r>
          </w:p>
        </w:tc>
        <w:tc>
          <w:tcPr>
            <w:tcW w:w="1547" w:type="dxa"/>
          </w:tcPr>
          <w:p w:rsidR="00EB639A" w:rsidRDefault="00EB639A" w:rsidP="00332336">
            <w:pPr>
              <w:jc w:val="center"/>
            </w:pPr>
            <w:r>
              <w:t>11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поселения Динского района на 2018-2022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984" w:type="dxa"/>
            <w:vAlign w:val="center"/>
          </w:tcPr>
          <w:p w:rsidR="00EB639A" w:rsidRPr="00692363" w:rsidRDefault="008A0823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8A0823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014" w:type="dxa"/>
          </w:tcPr>
          <w:p w:rsidR="00EB639A" w:rsidRDefault="00EB639A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2014" w:type="dxa"/>
          </w:tcPr>
          <w:p w:rsidR="00EB639A" w:rsidRPr="00B338A9" w:rsidRDefault="00EB639A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2014" w:type="dxa"/>
          </w:tcPr>
          <w:p w:rsidR="00EB639A" w:rsidRPr="00B338A9" w:rsidRDefault="00EB639A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014" w:type="dxa"/>
          </w:tcPr>
          <w:p w:rsidR="00EB639A" w:rsidRPr="00D257E5" w:rsidRDefault="006C2CC7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5670A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3323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2CC7" w:rsidRPr="00692363" w:rsidTr="00E66CD0">
        <w:trPr>
          <w:trHeight w:val="225"/>
          <w:tblHeader/>
        </w:trPr>
        <w:tc>
          <w:tcPr>
            <w:tcW w:w="851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014" w:type="dxa"/>
          </w:tcPr>
          <w:p w:rsidR="006C2CC7" w:rsidRPr="00B338A9" w:rsidRDefault="00816A3F" w:rsidP="00332336">
            <w:pPr>
              <w:ind w:right="317"/>
              <w:rPr>
                <w:sz w:val="22"/>
                <w:szCs w:val="22"/>
              </w:rPr>
            </w:pPr>
            <w:r w:rsidRPr="00816A3F">
              <w:rPr>
                <w:sz w:val="22"/>
                <w:szCs w:val="22"/>
              </w:rPr>
              <w:t xml:space="preserve">Строительство Сквера (аллеи) им. Глинского И.Л. в </w:t>
            </w:r>
            <w:proofErr w:type="spellStart"/>
            <w:r w:rsidRPr="00816A3F">
              <w:rPr>
                <w:sz w:val="22"/>
                <w:szCs w:val="22"/>
              </w:rPr>
              <w:t>ст-це</w:t>
            </w:r>
            <w:proofErr w:type="spellEnd"/>
            <w:r w:rsidRPr="00816A3F">
              <w:rPr>
                <w:sz w:val="22"/>
                <w:szCs w:val="22"/>
              </w:rPr>
              <w:t xml:space="preserve"> </w:t>
            </w:r>
            <w:proofErr w:type="spellStart"/>
            <w:r w:rsidRPr="00816A3F">
              <w:rPr>
                <w:sz w:val="22"/>
                <w:szCs w:val="22"/>
              </w:rPr>
              <w:t>Васюринской</w:t>
            </w:r>
            <w:proofErr w:type="spellEnd"/>
            <w:r w:rsidRPr="00816A3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96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2CC7" w:rsidRPr="00692363" w:rsidTr="00E66CD0">
        <w:trPr>
          <w:trHeight w:val="225"/>
          <w:tblHeader/>
        </w:trPr>
        <w:tc>
          <w:tcPr>
            <w:tcW w:w="851" w:type="dxa"/>
          </w:tcPr>
          <w:p w:rsidR="006C2CC7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1.1.7.1</w:t>
            </w:r>
          </w:p>
        </w:tc>
        <w:tc>
          <w:tcPr>
            <w:tcW w:w="2014" w:type="dxa"/>
          </w:tcPr>
          <w:p w:rsidR="006C2CC7" w:rsidRPr="00B338A9" w:rsidRDefault="00E66CD0" w:rsidP="00332336">
            <w:pPr>
              <w:ind w:right="317"/>
              <w:rPr>
                <w:sz w:val="22"/>
                <w:szCs w:val="22"/>
              </w:rPr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«Строительств</w:t>
            </w:r>
            <w:r w:rsidRPr="00E66CD0">
              <w:rPr>
                <w:sz w:val="22"/>
                <w:szCs w:val="22"/>
              </w:rPr>
              <w:t xml:space="preserve">о 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96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6C2CC7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CD0" w:rsidRPr="00692363" w:rsidTr="00E66CD0">
        <w:trPr>
          <w:trHeight w:val="225"/>
          <w:tblHeader/>
        </w:trPr>
        <w:tc>
          <w:tcPr>
            <w:tcW w:w="851" w:type="dxa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1.1.7.2</w:t>
            </w:r>
          </w:p>
        </w:tc>
        <w:tc>
          <w:tcPr>
            <w:tcW w:w="2014" w:type="dxa"/>
          </w:tcPr>
          <w:p w:rsidR="00E66CD0" w:rsidRPr="00E66CD0" w:rsidRDefault="00E66CD0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B338A9">
              <w:rPr>
                <w:sz w:val="22"/>
                <w:szCs w:val="22"/>
              </w:rPr>
              <w:t>Динской район, Васюринское сельское поселение, ст. Васюринская</w:t>
            </w:r>
            <w:r>
              <w:rPr>
                <w:sz w:val="22"/>
                <w:szCs w:val="22"/>
              </w:rPr>
              <w:t xml:space="preserve">, </w:t>
            </w:r>
            <w:r w:rsidRPr="006C2CC7">
              <w:rPr>
                <w:sz w:val="22"/>
                <w:szCs w:val="22"/>
              </w:rPr>
              <w:t>3 км по направлению на север от ст. Васюринской</w:t>
            </w:r>
          </w:p>
        </w:tc>
        <w:tc>
          <w:tcPr>
            <w:tcW w:w="96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66CD0" w:rsidRDefault="00E66CD0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E66CD0">
        <w:trPr>
          <w:trHeight w:val="225"/>
          <w:tblHeader/>
        </w:trPr>
        <w:tc>
          <w:tcPr>
            <w:tcW w:w="851" w:type="dxa"/>
          </w:tcPr>
          <w:p w:rsidR="00EB639A" w:rsidRPr="00692363" w:rsidRDefault="006C2CC7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014" w:type="dxa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96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2018-2024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269"/>
        <w:gridCol w:w="987"/>
        <w:gridCol w:w="706"/>
        <w:gridCol w:w="1268"/>
        <w:gridCol w:w="706"/>
        <w:gridCol w:w="706"/>
        <w:gridCol w:w="706"/>
        <w:gridCol w:w="1080"/>
        <w:gridCol w:w="1984"/>
        <w:gridCol w:w="1165"/>
      </w:tblGrid>
      <w:tr w:rsidR="00EB639A" w:rsidRPr="005A61AF" w:rsidTr="005670A9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159" w:type="dxa"/>
            <w:gridSpan w:val="7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B639A" w:rsidRPr="005A61AF" w:rsidTr="005670A9">
        <w:tc>
          <w:tcPr>
            <w:tcW w:w="847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68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5A61AF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5A61AF" w:rsidTr="005670A9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33233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33233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D029F0" w:rsidRPr="001B1FD7" w:rsidTr="005670A9"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Default="00D029F0" w:rsidP="00332336">
            <w:pPr>
              <w:spacing w:line="216" w:lineRule="auto"/>
            </w:pPr>
          </w:p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96975,1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355,0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8A0823">
            <w:pPr>
              <w:spacing w:line="216" w:lineRule="auto"/>
            </w:pPr>
            <w:r w:rsidRPr="00F3589B">
              <w:t xml:space="preserve">2024 - </w:t>
            </w:r>
            <w:r>
              <w:t>1</w:t>
            </w:r>
            <w:r w:rsidRPr="00F3589B">
              <w:t xml:space="preserve"> ед.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Администрация Васюринского сельского поселения</w:t>
            </w:r>
          </w:p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14310,2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355,0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12000,0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1B1FD7">
              <w:t>в том числе:</w:t>
            </w:r>
          </w:p>
          <w:p w:rsidR="00D029F0" w:rsidRDefault="00D029F0" w:rsidP="00332336">
            <w:pPr>
              <w:spacing w:line="216" w:lineRule="auto"/>
            </w:pPr>
            <w:r>
              <w:t>1.1.1</w:t>
            </w:r>
          </w:p>
          <w:p w:rsidR="00D029F0" w:rsidRDefault="00D029F0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0D7645" w:rsidRDefault="00D029F0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D74023" w:rsidRDefault="00D029F0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07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D257E5"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Васюринская, ул. </w:t>
            </w:r>
            <w:proofErr w:type="gramStart"/>
            <w:r w:rsidRPr="00D257E5">
              <w:t>Ж</w:t>
            </w:r>
            <w:r>
              <w:t>елезнодорожная(</w:t>
            </w:r>
            <w:proofErr w:type="gramEnd"/>
            <w:r>
              <w:t>западный въезд)»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2018 - 0ед.;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2019 - 0 ед.;</w:t>
            </w:r>
          </w:p>
          <w:p w:rsidR="00D029F0" w:rsidRPr="00AE1C4A" w:rsidRDefault="00D029F0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2022 - 0 ед.;</w:t>
            </w:r>
          </w:p>
          <w:p w:rsidR="00D029F0" w:rsidRPr="00AE1C4A" w:rsidRDefault="00D029F0" w:rsidP="00332336">
            <w:pPr>
              <w:spacing w:line="216" w:lineRule="auto"/>
            </w:pPr>
            <w:r w:rsidRPr="00AE1C4A">
              <w:t>2023 - 0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2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12,0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AE1C4A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83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332336">
            <w:pPr>
              <w:spacing w:line="216" w:lineRule="auto"/>
            </w:pPr>
            <w:r>
              <w:t>2018 - 0ед.;</w:t>
            </w:r>
          </w:p>
          <w:p w:rsidR="00D029F0" w:rsidRDefault="00D029F0" w:rsidP="00332336">
            <w:pPr>
              <w:spacing w:line="216" w:lineRule="auto"/>
            </w:pPr>
            <w:r>
              <w:t>2019 - 0 ед.;</w:t>
            </w:r>
          </w:p>
          <w:p w:rsidR="00D029F0" w:rsidRDefault="00D029F0" w:rsidP="00332336">
            <w:pPr>
              <w:spacing w:line="216" w:lineRule="auto"/>
            </w:pPr>
            <w:r>
              <w:t>2020 - 1 ед.;</w:t>
            </w:r>
          </w:p>
          <w:p w:rsidR="00D029F0" w:rsidRDefault="00D029F0" w:rsidP="00332336">
            <w:pPr>
              <w:spacing w:line="216" w:lineRule="auto"/>
            </w:pPr>
            <w:r>
              <w:t>2021 - 0 ед.;</w:t>
            </w:r>
          </w:p>
          <w:p w:rsidR="00D029F0" w:rsidRDefault="00D029F0" w:rsidP="00332336">
            <w:pPr>
              <w:spacing w:line="216" w:lineRule="auto"/>
            </w:pPr>
            <w:r>
              <w:t>2022 - 0 ед.;</w:t>
            </w:r>
          </w:p>
          <w:p w:rsidR="00D029F0" w:rsidRDefault="00D029F0" w:rsidP="00332336">
            <w:pPr>
              <w:spacing w:line="216" w:lineRule="auto"/>
            </w:pPr>
            <w:r>
              <w:t>2023 - 0 ед.;</w:t>
            </w:r>
          </w:p>
          <w:p w:rsidR="00D029F0" w:rsidRDefault="00D029F0" w:rsidP="00332336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5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92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332336">
            <w:pPr>
              <w:spacing w:line="216" w:lineRule="auto"/>
            </w:pPr>
            <w:r>
              <w:t>2018 - 0ед.;</w:t>
            </w:r>
          </w:p>
          <w:p w:rsidR="00D029F0" w:rsidRDefault="00D029F0" w:rsidP="00332336">
            <w:pPr>
              <w:spacing w:line="216" w:lineRule="auto"/>
            </w:pPr>
            <w:r>
              <w:t>2019 - 0 ед.;</w:t>
            </w:r>
          </w:p>
          <w:p w:rsidR="00D029F0" w:rsidRDefault="00D029F0" w:rsidP="00332336">
            <w:pPr>
              <w:spacing w:line="216" w:lineRule="auto"/>
            </w:pPr>
            <w:r>
              <w:t>2020 - 1 ед.;</w:t>
            </w:r>
          </w:p>
          <w:p w:rsidR="00D029F0" w:rsidRDefault="00D029F0" w:rsidP="00332336">
            <w:pPr>
              <w:spacing w:line="216" w:lineRule="auto"/>
            </w:pPr>
            <w:r>
              <w:t>2021 - 0 ед.;</w:t>
            </w:r>
          </w:p>
          <w:p w:rsidR="00D029F0" w:rsidRDefault="00D029F0" w:rsidP="00332336">
            <w:pPr>
              <w:spacing w:line="216" w:lineRule="auto"/>
            </w:pPr>
            <w:r>
              <w:t>2022 - 0 ед.;</w:t>
            </w:r>
          </w:p>
          <w:p w:rsidR="00D029F0" w:rsidRDefault="00D029F0" w:rsidP="00332336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5670A9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615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32,5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BD097F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 w:rsidRPr="00BD097F">
              <w:t>Благоустройство общественной территории, расположенной по адресу: Динской район, Васюринское сельское поселение, ст. 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D029F0">
            <w:pPr>
              <w:spacing w:line="216" w:lineRule="auto"/>
            </w:pPr>
            <w:r>
              <w:t>2018 - 0ед.;</w:t>
            </w:r>
          </w:p>
          <w:p w:rsidR="00D029F0" w:rsidRDefault="00D029F0" w:rsidP="00D029F0">
            <w:pPr>
              <w:spacing w:line="216" w:lineRule="auto"/>
            </w:pPr>
            <w:r>
              <w:t>2019 - 0 ед.;</w:t>
            </w:r>
          </w:p>
          <w:p w:rsidR="00D029F0" w:rsidRDefault="00D029F0" w:rsidP="00D029F0">
            <w:pPr>
              <w:spacing w:line="216" w:lineRule="auto"/>
            </w:pPr>
            <w:r>
              <w:t>2020 - 0 ед.;</w:t>
            </w:r>
          </w:p>
          <w:p w:rsidR="00D029F0" w:rsidRDefault="00D029F0" w:rsidP="00D029F0">
            <w:pPr>
              <w:spacing w:line="216" w:lineRule="auto"/>
            </w:pPr>
            <w:r>
              <w:t>2021 - 0 ед.;</w:t>
            </w:r>
          </w:p>
          <w:p w:rsidR="00D029F0" w:rsidRDefault="00D029F0" w:rsidP="00D029F0">
            <w:pPr>
              <w:spacing w:line="216" w:lineRule="auto"/>
            </w:pPr>
            <w:r>
              <w:t>2022 - 0 ед.;</w:t>
            </w:r>
          </w:p>
          <w:p w:rsidR="00D029F0" w:rsidRDefault="00D029F0" w:rsidP="00D029F0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D029F0">
            <w:pPr>
              <w:spacing w:line="216" w:lineRule="auto"/>
            </w:pPr>
            <w:r>
              <w:t>2024 - 1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 w:rsidRPr="00D029F0">
              <w:t>12000,0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66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F437B7" w:rsidRDefault="00D029F0" w:rsidP="00D029F0">
            <w:r w:rsidRPr="00F437B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F437B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993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D029F0">
            <w:pPr>
              <w:spacing w:line="216" w:lineRule="auto"/>
              <w:jc w:val="center"/>
            </w:pPr>
            <w:r>
              <w:t>1.1.7.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Default="00816A3F" w:rsidP="00D029F0">
            <w:pPr>
              <w:spacing w:line="216" w:lineRule="auto"/>
            </w:pPr>
            <w:r w:rsidRPr="00816A3F">
              <w:t xml:space="preserve">Строительство Сквера (аллеи) им. Глинского И.Л. в </w:t>
            </w:r>
            <w:proofErr w:type="spellStart"/>
            <w:r w:rsidRPr="00816A3F">
              <w:t>ст-це</w:t>
            </w:r>
            <w:proofErr w:type="spellEnd"/>
            <w:r w:rsidRPr="00816A3F">
              <w:t xml:space="preserve"> </w:t>
            </w:r>
            <w:proofErr w:type="spellStart"/>
            <w:r w:rsidRPr="00816A3F">
              <w:t>Васюринской</w:t>
            </w:r>
            <w:proofErr w:type="spellEnd"/>
            <w:r w:rsidRPr="00816A3F"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816A3F" w:rsidP="00D029F0">
            <w:pPr>
              <w:spacing w:line="216" w:lineRule="auto"/>
            </w:pPr>
            <w:r>
              <w:t>345,0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816A3F" w:rsidP="00D029F0">
            <w:pPr>
              <w:spacing w:line="216" w:lineRule="auto"/>
            </w:pPr>
            <w:r>
              <w:t>345,0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D029F0" w:rsidRDefault="00D029F0" w:rsidP="00D029F0">
            <w:pPr>
              <w:spacing w:line="216" w:lineRule="auto"/>
            </w:pPr>
            <w:r>
              <w:t>2018 - 0ед.;</w:t>
            </w:r>
          </w:p>
          <w:p w:rsidR="00D029F0" w:rsidRDefault="00D029F0" w:rsidP="00D029F0">
            <w:pPr>
              <w:spacing w:line="216" w:lineRule="auto"/>
            </w:pPr>
            <w:r>
              <w:t>2019 - 0 ед.;</w:t>
            </w:r>
          </w:p>
          <w:p w:rsidR="00D029F0" w:rsidRDefault="00D029F0" w:rsidP="00D029F0">
            <w:pPr>
              <w:spacing w:line="216" w:lineRule="auto"/>
            </w:pPr>
            <w:r>
              <w:t xml:space="preserve">2020 </w:t>
            </w:r>
            <w:r w:rsidR="00816A3F">
              <w:t>–</w:t>
            </w:r>
            <w:r>
              <w:t xml:space="preserve"> </w:t>
            </w:r>
            <w:r w:rsidR="00816A3F">
              <w:t xml:space="preserve">0 </w:t>
            </w:r>
            <w:r>
              <w:t>ед.;</w:t>
            </w:r>
          </w:p>
          <w:p w:rsidR="00D029F0" w:rsidRDefault="00D029F0" w:rsidP="00D029F0">
            <w:pPr>
              <w:spacing w:line="216" w:lineRule="auto"/>
            </w:pPr>
            <w:r>
              <w:t>2021 - 0 ед.;</w:t>
            </w:r>
          </w:p>
          <w:p w:rsidR="00D029F0" w:rsidRDefault="00D029F0" w:rsidP="00D029F0">
            <w:pPr>
              <w:spacing w:line="216" w:lineRule="auto"/>
            </w:pPr>
            <w:r>
              <w:t xml:space="preserve">2022 </w:t>
            </w:r>
            <w:r w:rsidR="00816A3F">
              <w:t>–</w:t>
            </w:r>
            <w:r>
              <w:t xml:space="preserve"> </w:t>
            </w:r>
            <w:r w:rsidR="00816A3F">
              <w:t xml:space="preserve">1 </w:t>
            </w:r>
            <w:r>
              <w:t>ед.;</w:t>
            </w:r>
          </w:p>
          <w:p w:rsidR="00D029F0" w:rsidRDefault="00D029F0" w:rsidP="00D029F0">
            <w:pPr>
              <w:spacing w:line="216" w:lineRule="auto"/>
            </w:pPr>
            <w:r>
              <w:t>2023 - 0 ед.;</w:t>
            </w:r>
          </w:p>
          <w:p w:rsidR="00D029F0" w:rsidRPr="00F3589B" w:rsidRDefault="00D029F0" w:rsidP="00D029F0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111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--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BD097F">
        <w:trPr>
          <w:trHeight w:val="78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129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95"/>
        </w:trPr>
        <w:tc>
          <w:tcPr>
            <w:tcW w:w="847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  <w:r>
              <w:t>1.1.7.1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BD097F" w:rsidRDefault="00D029F0" w:rsidP="00D029F0">
            <w:pPr>
              <w:spacing w:line="216" w:lineRule="auto"/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«Строительств</w:t>
            </w:r>
            <w:r w:rsidRPr="00E66CD0">
              <w:rPr>
                <w:sz w:val="22"/>
                <w:szCs w:val="22"/>
              </w:rPr>
              <w:t xml:space="preserve">о </w:t>
            </w:r>
            <w:r w:rsidRPr="00E66CD0">
              <w:rPr>
                <w:sz w:val="22"/>
                <w:szCs w:val="22"/>
              </w:rPr>
              <w:lastRenderedPageBreak/>
              <w:t xml:space="preserve">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lastRenderedPageBreak/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A3F" w:rsidRDefault="00816A3F" w:rsidP="00816A3F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816A3F" w:rsidRDefault="00816A3F" w:rsidP="00816A3F">
            <w:pPr>
              <w:spacing w:line="216" w:lineRule="auto"/>
            </w:pPr>
            <w:r>
              <w:t>2018 - 0ед.;</w:t>
            </w:r>
          </w:p>
          <w:p w:rsidR="00816A3F" w:rsidRDefault="00816A3F" w:rsidP="00816A3F">
            <w:pPr>
              <w:spacing w:line="216" w:lineRule="auto"/>
            </w:pPr>
            <w:r>
              <w:lastRenderedPageBreak/>
              <w:t>2019 - 0 ед.;</w:t>
            </w:r>
          </w:p>
          <w:p w:rsidR="00816A3F" w:rsidRDefault="00816A3F" w:rsidP="00816A3F">
            <w:pPr>
              <w:spacing w:line="216" w:lineRule="auto"/>
            </w:pPr>
            <w:r>
              <w:t>2020 – 0 ед.;</w:t>
            </w:r>
          </w:p>
          <w:p w:rsidR="00816A3F" w:rsidRDefault="00816A3F" w:rsidP="00816A3F">
            <w:pPr>
              <w:spacing w:line="216" w:lineRule="auto"/>
            </w:pPr>
            <w:r>
              <w:t>2021 - 0 ед.;</w:t>
            </w:r>
          </w:p>
          <w:p w:rsidR="00816A3F" w:rsidRDefault="00816A3F" w:rsidP="00816A3F">
            <w:pPr>
              <w:spacing w:line="216" w:lineRule="auto"/>
            </w:pPr>
            <w:r>
              <w:t>2022 – 1 ед.;</w:t>
            </w:r>
          </w:p>
          <w:p w:rsidR="00816A3F" w:rsidRDefault="00816A3F" w:rsidP="00816A3F">
            <w:pPr>
              <w:spacing w:line="216" w:lineRule="auto"/>
            </w:pPr>
            <w:r>
              <w:t>2023 - 0 ед.;</w:t>
            </w:r>
          </w:p>
          <w:p w:rsidR="00D029F0" w:rsidRPr="00F3589B" w:rsidRDefault="00816A3F" w:rsidP="00816A3F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7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120,0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6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5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34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511"/>
        </w:trPr>
        <w:tc>
          <w:tcPr>
            <w:tcW w:w="847" w:type="dxa"/>
            <w:vMerge w:val="restart"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  <w:r>
              <w:t>1.1.7.2.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E66CD0" w:rsidRDefault="00D029F0" w:rsidP="00D029F0">
            <w:pPr>
              <w:spacing w:line="216" w:lineRule="auto"/>
              <w:rPr>
                <w:sz w:val="22"/>
                <w:szCs w:val="22"/>
              </w:rPr>
            </w:pPr>
            <w:r w:rsidRPr="00D029F0">
              <w:rPr>
                <w:sz w:val="22"/>
                <w:szCs w:val="22"/>
              </w:rPr>
              <w:t>Технологическое присоединение объекта электропотребления на земельном участке, расположенном по адресу: Динской район, Васюринское сельское поселение, ст. Васюринская, 3 км по направлению на север от ст. Васюринской</w:t>
            </w: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A3F" w:rsidRDefault="00816A3F" w:rsidP="00816A3F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816A3F" w:rsidRDefault="00816A3F" w:rsidP="00816A3F">
            <w:pPr>
              <w:spacing w:line="216" w:lineRule="auto"/>
            </w:pPr>
            <w:r>
              <w:t>2018 - 0ед.;</w:t>
            </w:r>
          </w:p>
          <w:p w:rsidR="00816A3F" w:rsidRDefault="00816A3F" w:rsidP="00816A3F">
            <w:pPr>
              <w:spacing w:line="216" w:lineRule="auto"/>
            </w:pPr>
            <w:r>
              <w:t>2019 - 0 ед.;</w:t>
            </w:r>
          </w:p>
          <w:p w:rsidR="00816A3F" w:rsidRDefault="00816A3F" w:rsidP="00816A3F">
            <w:pPr>
              <w:spacing w:line="216" w:lineRule="auto"/>
            </w:pPr>
            <w:r>
              <w:t>2020 – 0 ед.;</w:t>
            </w:r>
          </w:p>
          <w:p w:rsidR="00816A3F" w:rsidRDefault="00816A3F" w:rsidP="00816A3F">
            <w:pPr>
              <w:spacing w:line="216" w:lineRule="auto"/>
            </w:pPr>
            <w:r>
              <w:t>2021 - 0 ед.;</w:t>
            </w:r>
          </w:p>
          <w:p w:rsidR="00816A3F" w:rsidRDefault="00816A3F" w:rsidP="00816A3F">
            <w:pPr>
              <w:spacing w:line="216" w:lineRule="auto"/>
            </w:pPr>
            <w:r>
              <w:t>2022 – 1 ед.;</w:t>
            </w:r>
          </w:p>
          <w:p w:rsidR="00816A3F" w:rsidRDefault="00816A3F" w:rsidP="00816A3F">
            <w:pPr>
              <w:spacing w:line="216" w:lineRule="auto"/>
            </w:pPr>
            <w:r>
              <w:t>2023 - 0 ед.;</w:t>
            </w:r>
          </w:p>
          <w:p w:rsidR="00D029F0" w:rsidRPr="00F3589B" w:rsidRDefault="00816A3F" w:rsidP="00816A3F">
            <w:pPr>
              <w:spacing w:line="216" w:lineRule="auto"/>
            </w:pPr>
            <w:r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46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  <w:r>
              <w:t>225,0</w:t>
            </w: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525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D029F0">
        <w:trPr>
          <w:trHeight w:val="69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Pr="004065F5" w:rsidRDefault="00D029F0" w:rsidP="00D029F0">
            <w:r w:rsidRPr="004065F5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1620"/>
        </w:trPr>
        <w:tc>
          <w:tcPr>
            <w:tcW w:w="847" w:type="dxa"/>
            <w:vMerge/>
            <w:shd w:val="clear" w:color="auto" w:fill="auto"/>
          </w:tcPr>
          <w:p w:rsidR="00D029F0" w:rsidRDefault="00D029F0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D029F0" w:rsidRDefault="00D029F0" w:rsidP="00D029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D029F0" w:rsidRDefault="00D029F0" w:rsidP="00D029F0">
            <w:r w:rsidRPr="004065F5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F3589B" w:rsidRDefault="00D029F0" w:rsidP="00D029F0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D029F0">
            <w:pPr>
              <w:spacing w:line="216" w:lineRule="auto"/>
            </w:pPr>
          </w:p>
        </w:tc>
      </w:tr>
      <w:tr w:rsidR="00D029F0" w:rsidRPr="001B1FD7" w:rsidTr="005670A9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10,0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10,0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 xml:space="preserve">2022 – 1 </w:t>
            </w:r>
            <w:r w:rsidRPr="00F3589B">
              <w:t>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24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039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946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lastRenderedPageBreak/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2023 - 0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1080" w:type="dxa"/>
          </w:tcPr>
          <w:p w:rsidR="00D029F0" w:rsidRDefault="00D029F0" w:rsidP="00332336">
            <w:r w:rsidRPr="00E10DB4"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72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  <w:r>
              <w:t xml:space="preserve"> 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29F0" w:rsidRPr="00F3589B" w:rsidRDefault="00D029F0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2018 - 0ед.;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2019 - 0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2020 - 1 ед.;</w:t>
            </w:r>
          </w:p>
          <w:p w:rsidR="00D029F0" w:rsidRPr="00F3589B" w:rsidRDefault="00D029F0" w:rsidP="0033233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>2022 - 0 ед.;</w:t>
            </w:r>
          </w:p>
          <w:p w:rsidR="00D029F0" w:rsidRPr="00F3589B" w:rsidRDefault="00D029F0" w:rsidP="00332336">
            <w:pPr>
              <w:spacing w:line="216" w:lineRule="auto"/>
            </w:pPr>
            <w:r w:rsidRPr="00F3589B">
              <w:t xml:space="preserve">2023 - </w:t>
            </w:r>
            <w:r>
              <w:t>0</w:t>
            </w:r>
            <w:r w:rsidRPr="00F3589B">
              <w:t xml:space="preserve"> ед.;</w:t>
            </w:r>
          </w:p>
          <w:p w:rsidR="00D029F0" w:rsidRPr="001B1FD7" w:rsidRDefault="00D029F0" w:rsidP="00332336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880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987" w:type="dxa"/>
            <w:shd w:val="clear" w:color="auto" w:fill="auto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706" w:type="dxa"/>
            <w:shd w:val="clear" w:color="auto" w:fill="auto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1268" w:type="dxa"/>
            <w:shd w:val="clear" w:color="auto" w:fill="auto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706" w:type="dxa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1080" w:type="dxa"/>
          </w:tcPr>
          <w:p w:rsidR="00D029F0" w:rsidRDefault="00D029F0" w:rsidP="00332336">
            <w:r w:rsidRPr="00D21504"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D029F0" w:rsidRPr="001B1FD7" w:rsidTr="005670A9">
        <w:tc>
          <w:tcPr>
            <w:tcW w:w="847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706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080" w:type="dxa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D029F0" w:rsidRPr="001B1FD7" w:rsidRDefault="00D029F0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shd w:val="clear" w:color="auto" w:fill="auto"/>
          </w:tcPr>
          <w:p w:rsidR="00EB639A" w:rsidRDefault="006174E6" w:rsidP="00332336">
            <w:pPr>
              <w:spacing w:line="216" w:lineRule="auto"/>
            </w:pPr>
            <w:r>
              <w:t>5</w:t>
            </w:r>
          </w:p>
          <w:p w:rsidR="00EB639A" w:rsidRDefault="00EB639A" w:rsidP="0033233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33233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Pr="009F4AA4" w:rsidRDefault="00D029F0" w:rsidP="00D029F0">
            <w:r>
              <w:t>96975,1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5670A9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D029F0" w:rsidP="00332336">
            <w:pPr>
              <w:spacing w:line="216" w:lineRule="auto"/>
            </w:pPr>
            <w:r>
              <w:t>355,0</w:t>
            </w:r>
            <w:r w:rsidR="00EB639A" w:rsidRPr="001B1FD7">
              <w:t>,0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75000,0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D029F0" w:rsidP="00332336">
            <w:pPr>
              <w:spacing w:line="216" w:lineRule="auto"/>
            </w:pPr>
            <w:r>
              <w:t>14310,2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5670A9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D029F0" w:rsidP="00332336">
            <w:pPr>
              <w:spacing w:line="216" w:lineRule="auto"/>
            </w:pPr>
            <w:r>
              <w:t>355,0</w:t>
            </w:r>
            <w:r w:rsidR="00EB639A" w:rsidRPr="001B1FD7">
              <w:t>,0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  <w:r>
              <w:t>-</w:t>
            </w: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12000,0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D029F0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080" w:type="dxa"/>
          </w:tcPr>
          <w:p w:rsidR="00EB639A" w:rsidRPr="001B1FD7" w:rsidRDefault="005670A9" w:rsidP="00332336">
            <w:pPr>
              <w:spacing w:line="216" w:lineRule="auto"/>
            </w:pPr>
            <w:r>
              <w:t>63000,0</w:t>
            </w: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1B1FD7" w:rsidTr="005670A9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B639A" w:rsidRPr="001B1FD7" w:rsidRDefault="00EB639A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EA377E" w:rsidRDefault="00EA377E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332336"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среды»*</w:t>
      </w:r>
      <w:proofErr w:type="gramEnd"/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385"/>
        </w:trPr>
        <w:tc>
          <w:tcPr>
            <w:tcW w:w="62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Васюринское сельское поселение, ст. 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74023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Pr="00D74023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Динской район, Васюринское сельское поселение, ст. Васюринская,</w:t>
            </w:r>
            <w:r w:rsidR="0057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улица Ставского 10 Б (Парк в ст. Васюринской)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№3 от 18.02.2020 г.</w:t>
            </w:r>
          </w:p>
        </w:tc>
        <w:tc>
          <w:tcPr>
            <w:tcW w:w="1984" w:type="dxa"/>
          </w:tcPr>
          <w:p w:rsidR="00EB639A" w:rsidRPr="00B338A9" w:rsidRDefault="00EB639A" w:rsidP="005772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bookmarkEnd w:id="0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A"/>
    <w:rsid w:val="00070413"/>
    <w:rsid w:val="000E4023"/>
    <w:rsid w:val="00204DD5"/>
    <w:rsid w:val="0024495F"/>
    <w:rsid w:val="00332336"/>
    <w:rsid w:val="005670A9"/>
    <w:rsid w:val="00577295"/>
    <w:rsid w:val="006174E6"/>
    <w:rsid w:val="006C2CC7"/>
    <w:rsid w:val="007222A3"/>
    <w:rsid w:val="007B04D6"/>
    <w:rsid w:val="00816A3F"/>
    <w:rsid w:val="008778AF"/>
    <w:rsid w:val="008A0823"/>
    <w:rsid w:val="009C1780"/>
    <w:rsid w:val="009D3C1B"/>
    <w:rsid w:val="00B16AAF"/>
    <w:rsid w:val="00BD097F"/>
    <w:rsid w:val="00C37D3A"/>
    <w:rsid w:val="00D029F0"/>
    <w:rsid w:val="00D77388"/>
    <w:rsid w:val="00E66CD0"/>
    <w:rsid w:val="00EA377E"/>
    <w:rsid w:val="00EB639A"/>
    <w:rsid w:val="00F71D4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5</cp:revision>
  <cp:lastPrinted>2022-01-27T10:29:00Z</cp:lastPrinted>
  <dcterms:created xsi:type="dcterms:W3CDTF">2021-09-15T05:59:00Z</dcterms:created>
  <dcterms:modified xsi:type="dcterms:W3CDTF">2022-01-28T06:38:00Z</dcterms:modified>
</cp:coreProperties>
</file>