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4F6F">
        <w:rPr>
          <w:sz w:val="28"/>
          <w:szCs w:val="28"/>
        </w:rPr>
        <w:t>19.05.2021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614F6F">
        <w:rPr>
          <w:sz w:val="28"/>
          <w:szCs w:val="28"/>
        </w:rPr>
        <w:tab/>
      </w:r>
      <w:r w:rsidR="00614F6F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614F6F">
        <w:rPr>
          <w:sz w:val="28"/>
          <w:szCs w:val="28"/>
        </w:rPr>
        <w:t>109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BD7206">
        <w:rPr>
          <w:sz w:val="28"/>
          <w:szCs w:val="28"/>
        </w:rPr>
        <w:t>2,5,7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735FE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  <w:t>Д.А. Позов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14F6F">
              <w:rPr>
                <w:sz w:val="28"/>
                <w:szCs w:val="28"/>
              </w:rPr>
              <w:t>17.05.2021</w:t>
            </w:r>
            <w:r>
              <w:rPr>
                <w:sz w:val="28"/>
                <w:szCs w:val="28"/>
              </w:rPr>
              <w:t xml:space="preserve"> № </w:t>
            </w:r>
            <w:r w:rsidR="00614F6F">
              <w:rPr>
                <w:sz w:val="28"/>
                <w:szCs w:val="28"/>
              </w:rPr>
              <w:t>109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614F6F" w:rsidRPr="005A61AF" w:rsidTr="00E438DF">
        <w:tc>
          <w:tcPr>
            <w:tcW w:w="5148" w:type="dxa"/>
          </w:tcPr>
          <w:p w:rsidR="00614F6F" w:rsidRPr="005A61AF" w:rsidRDefault="00614F6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14F6F" w:rsidRPr="005A61AF" w:rsidRDefault="00614F6F" w:rsidP="00E438DF">
            <w:pPr>
              <w:ind w:left="-108" w:right="-284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614F6F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B336F8">
              <w:rPr>
                <w:color w:val="FF0000"/>
                <w:sz w:val="28"/>
                <w:szCs w:val="28"/>
              </w:rPr>
              <w:t> 1</w:t>
            </w:r>
            <w:r w:rsidR="00F868AF">
              <w:rPr>
                <w:color w:val="FF0000"/>
                <w:sz w:val="28"/>
                <w:szCs w:val="28"/>
              </w:rPr>
              <w:t>72,9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F868AF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336F8">
              <w:rPr>
                <w:sz w:val="28"/>
                <w:szCs w:val="28"/>
              </w:rPr>
              <w:t>6775</w:t>
            </w:r>
            <w:r w:rsidR="00F868AF">
              <w:rPr>
                <w:sz w:val="28"/>
                <w:szCs w:val="28"/>
              </w:rPr>
              <w:t>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8 483,8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614F6F" w:rsidRPr="00614F6F" w:rsidRDefault="00614F6F" w:rsidP="00614F6F">
            <w:pPr>
              <w:ind w:left="10416" w:right="-284"/>
              <w:rPr>
                <w:sz w:val="28"/>
                <w:szCs w:val="28"/>
              </w:rPr>
            </w:pPr>
            <w:r w:rsidRPr="00614F6F">
              <w:rPr>
                <w:sz w:val="28"/>
                <w:szCs w:val="28"/>
              </w:rPr>
              <w:t>от 17.05.2021 № 109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566AA" w:rsidP="00E438DF">
            <w:pPr>
              <w:jc w:val="center"/>
            </w:pPr>
            <w:r>
              <w:t>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И</w:t>
            </w:r>
            <w:r w:rsidRPr="003B14A5">
              <w:t>зготовление ПСД</w:t>
            </w:r>
            <w:r>
              <w:t>, технадзор,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824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Динского</w:t>
            </w:r>
            <w:proofErr w:type="spellEnd"/>
            <w:r w:rsidRPr="00F7551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566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076DE2">
        <w:trPr>
          <w:trHeight w:val="325"/>
          <w:tblHeader/>
        </w:trPr>
        <w:tc>
          <w:tcPr>
            <w:tcW w:w="707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566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614F6F" w:rsidRPr="00614F6F" w:rsidRDefault="00614F6F" w:rsidP="00614F6F">
            <w:pPr>
              <w:ind w:right="-284"/>
              <w:rPr>
                <w:sz w:val="28"/>
                <w:szCs w:val="28"/>
              </w:rPr>
            </w:pPr>
            <w:r w:rsidRPr="00614F6F">
              <w:rPr>
                <w:sz w:val="28"/>
                <w:szCs w:val="28"/>
              </w:rPr>
              <w:t>от 17.05.2021 № 109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B336F8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58 772,9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E438DF">
            <w:r>
              <w:rPr>
                <w:sz w:val="22"/>
                <w:szCs w:val="22"/>
              </w:rPr>
              <w:t>16 0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E438DF">
            <w:r>
              <w:rPr>
                <w:sz w:val="22"/>
                <w:szCs w:val="22"/>
              </w:rPr>
              <w:t>7 0</w:t>
            </w:r>
            <w:r w:rsidR="00F868AF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shd w:val="clear" w:color="auto" w:fill="auto"/>
          </w:tcPr>
          <w:p w:rsidR="00D619B0" w:rsidRDefault="00B336F8" w:rsidP="002B7731">
            <w:r>
              <w:rPr>
                <w:sz w:val="22"/>
                <w:szCs w:val="22"/>
              </w:rPr>
              <w:t>5375,5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619B0">
            <w:r>
              <w:rPr>
                <w:sz w:val="22"/>
                <w:szCs w:val="22"/>
              </w:rPr>
              <w:t>60</w:t>
            </w:r>
            <w:r w:rsidR="00B336F8">
              <w:rPr>
                <w:sz w:val="22"/>
                <w:szCs w:val="22"/>
              </w:rPr>
              <w:t> 1</w:t>
            </w:r>
            <w:r w:rsidR="002B7731">
              <w:rPr>
                <w:sz w:val="22"/>
                <w:szCs w:val="22"/>
              </w:rPr>
              <w:t>72,9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17 4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8 483,8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6 775,5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614F6F" w:rsidRPr="00614F6F" w:rsidRDefault="00614F6F" w:rsidP="00614F6F">
            <w:pPr>
              <w:ind w:right="-284"/>
              <w:rPr>
                <w:sz w:val="28"/>
                <w:szCs w:val="28"/>
              </w:rPr>
            </w:pPr>
            <w:r w:rsidRPr="00614F6F">
              <w:rPr>
                <w:sz w:val="28"/>
                <w:szCs w:val="28"/>
              </w:rPr>
              <w:t>от 17.05.2021 № 109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B336F8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58 772,9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614F6F" w:rsidRPr="00614F6F" w:rsidRDefault="00614F6F" w:rsidP="00614F6F">
            <w:pPr>
              <w:ind w:right="-284"/>
              <w:rPr>
                <w:sz w:val="28"/>
                <w:szCs w:val="28"/>
              </w:rPr>
            </w:pPr>
            <w:r w:rsidRPr="00614F6F">
              <w:rPr>
                <w:sz w:val="28"/>
                <w:szCs w:val="28"/>
              </w:rPr>
              <w:t>от 17.05.2021 № 109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537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404790">
            <w:r>
              <w:t>Мероприятие № 2</w:t>
            </w:r>
          </w:p>
          <w:p w:rsidR="00076DE2" w:rsidRPr="003B14A5" w:rsidRDefault="00076DE2" w:rsidP="00404790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50468F" w:rsidP="00404790">
            <w:r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50468F" w:rsidP="0050468F">
            <w:r w:rsidRPr="0050468F"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lastRenderedPageBreak/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A3008D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963A73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Изготовление ПСД, технадзор,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E019D2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 xml:space="preserve"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</w:t>
            </w:r>
            <w:r w:rsidRPr="00B17BE3">
              <w:rPr>
                <w:sz w:val="22"/>
                <w:szCs w:val="22"/>
              </w:rPr>
              <w:lastRenderedPageBreak/>
              <w:t>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9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10</w:t>
            </w:r>
          </w:p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58 772,9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16 066,1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r>
              <w:t>7 083,8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r>
              <w:t>5 375,5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614F6F" w:rsidRPr="00614F6F" w:rsidRDefault="00614F6F" w:rsidP="00614F6F">
            <w:pPr>
              <w:ind w:right="-284"/>
              <w:rPr>
                <w:sz w:val="28"/>
                <w:szCs w:val="28"/>
              </w:rPr>
            </w:pPr>
            <w:r w:rsidRPr="00614F6F">
              <w:rPr>
                <w:sz w:val="28"/>
                <w:szCs w:val="28"/>
              </w:rPr>
              <w:t>от 17.05.2021 № 109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614F6F" w:rsidRPr="00614F6F" w:rsidRDefault="00614F6F" w:rsidP="00614F6F">
            <w:pPr>
              <w:ind w:right="-284"/>
              <w:rPr>
                <w:sz w:val="28"/>
                <w:szCs w:val="28"/>
              </w:rPr>
            </w:pPr>
            <w:r w:rsidRPr="00614F6F">
              <w:rPr>
                <w:sz w:val="28"/>
                <w:szCs w:val="28"/>
              </w:rPr>
              <w:t>от 17.05.2021 № 109</w:t>
            </w:r>
          </w:p>
          <w:p w:rsidR="00076DE2" w:rsidRPr="005A61AF" w:rsidRDefault="00076DE2" w:rsidP="00E438DF">
            <w:pPr>
              <w:ind w:left="33"/>
            </w:pPr>
            <w:bookmarkStart w:id="0" w:name="_GoBack"/>
            <w:bookmarkEnd w:id="0"/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076DE2" w:rsidRPr="005A61AF" w:rsidTr="00E438D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lastRenderedPageBreak/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BD7206" w:rsidP="00E438DF">
            <w:r>
              <w:t>360</w:t>
            </w:r>
            <w:r w:rsidR="00076DE2" w:rsidRPr="005A61AF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BD7206" w:rsidP="00BD7206">
            <w:r>
              <w:t>360</w:t>
            </w:r>
            <w:r w:rsidRPr="005A61AF">
              <w:t>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D7206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BD7206" w:rsidRDefault="00BD7206" w:rsidP="00BD7206">
            <w:r w:rsidRPr="0040329A">
              <w:t>360,0</w:t>
            </w:r>
          </w:p>
        </w:tc>
        <w:tc>
          <w:tcPr>
            <w:tcW w:w="974" w:type="dxa"/>
            <w:shd w:val="clear" w:color="auto" w:fill="auto"/>
          </w:tcPr>
          <w:p w:rsidR="00BD7206" w:rsidRDefault="00BD7206" w:rsidP="00BD7206">
            <w:r w:rsidRPr="0040329A">
              <w:t>360,0</w:t>
            </w:r>
          </w:p>
        </w:tc>
        <w:tc>
          <w:tcPr>
            <w:tcW w:w="974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134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E438D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74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7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B17BE3" w:rsidRDefault="00B17BE3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B17BE3" w:rsidRPr="005A61AF" w:rsidRDefault="00B17BE3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B17BE3" w:rsidRPr="00BD7206" w:rsidRDefault="00BD7206" w:rsidP="00B17BE3">
            <w:pPr>
              <w:spacing w:line="216" w:lineRule="auto"/>
            </w:pPr>
            <w:r w:rsidRPr="00BD7206">
              <w:t>5</w:t>
            </w:r>
            <w:r w:rsidR="00B17BE3" w:rsidRPr="00BD7206">
              <w:t>,0</w:t>
            </w:r>
          </w:p>
        </w:tc>
        <w:tc>
          <w:tcPr>
            <w:tcW w:w="974" w:type="dxa"/>
            <w:shd w:val="clear" w:color="auto" w:fill="auto"/>
          </w:tcPr>
          <w:p w:rsidR="00B17BE3" w:rsidRPr="00BD7206" w:rsidRDefault="00BD7206" w:rsidP="00BD7206">
            <w:pPr>
              <w:spacing w:line="216" w:lineRule="auto"/>
            </w:pPr>
            <w:r w:rsidRPr="00BD7206">
              <w:t>5,0</w:t>
            </w: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D7206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BD7206" w:rsidRPr="00BD7206" w:rsidRDefault="00BD7206" w:rsidP="00BD7206">
            <w:r w:rsidRPr="00BD7206">
              <w:t>5,0</w:t>
            </w:r>
          </w:p>
        </w:tc>
        <w:tc>
          <w:tcPr>
            <w:tcW w:w="974" w:type="dxa"/>
            <w:shd w:val="clear" w:color="auto" w:fill="auto"/>
          </w:tcPr>
          <w:p w:rsidR="00BD7206" w:rsidRPr="00BD7206" w:rsidRDefault="00BD7206" w:rsidP="00BD7206">
            <w:r w:rsidRPr="00BD7206">
              <w:t>5,0</w:t>
            </w:r>
          </w:p>
        </w:tc>
        <w:tc>
          <w:tcPr>
            <w:tcW w:w="974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134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B17BE3" w:rsidRPr="005A61AF" w:rsidRDefault="00B17BE3" w:rsidP="00B17BE3">
            <w:r>
              <w:t>140</w:t>
            </w:r>
            <w:r w:rsidRPr="005A61AF">
              <w:t>0</w:t>
            </w:r>
          </w:p>
        </w:tc>
        <w:tc>
          <w:tcPr>
            <w:tcW w:w="974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74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7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134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076DE2" w:rsidP="00076DE2">
      <w:pPr>
        <w:ind w:left="-284" w:firstLine="710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30" w:rsidRDefault="00284D30" w:rsidP="00D7556C">
      <w:r>
        <w:separator/>
      </w:r>
    </w:p>
  </w:endnote>
  <w:endnote w:type="continuationSeparator" w:id="0">
    <w:p w:rsidR="00284D30" w:rsidRDefault="00284D30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30" w:rsidRDefault="00284D30" w:rsidP="00D7556C">
      <w:r>
        <w:separator/>
      </w:r>
    </w:p>
  </w:footnote>
  <w:footnote w:type="continuationSeparator" w:id="0">
    <w:p w:rsidR="00284D30" w:rsidRDefault="00284D30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B" w:rsidRPr="009C0A83" w:rsidRDefault="00F01D1B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B" w:rsidRPr="005A61AF" w:rsidRDefault="00F01D1B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6DE2"/>
    <w:rsid w:val="000C1FC7"/>
    <w:rsid w:val="00112179"/>
    <w:rsid w:val="0012238E"/>
    <w:rsid w:val="001C6B6B"/>
    <w:rsid w:val="00221F20"/>
    <w:rsid w:val="00284D30"/>
    <w:rsid w:val="002B7731"/>
    <w:rsid w:val="002D37A1"/>
    <w:rsid w:val="00331640"/>
    <w:rsid w:val="00335C4D"/>
    <w:rsid w:val="00386214"/>
    <w:rsid w:val="00404790"/>
    <w:rsid w:val="00473AE2"/>
    <w:rsid w:val="004C79C0"/>
    <w:rsid w:val="004E1B2E"/>
    <w:rsid w:val="004E60BD"/>
    <w:rsid w:val="0050468F"/>
    <w:rsid w:val="00521DCF"/>
    <w:rsid w:val="0059436B"/>
    <w:rsid w:val="005E0EFE"/>
    <w:rsid w:val="006145D7"/>
    <w:rsid w:val="00614F6F"/>
    <w:rsid w:val="006972D9"/>
    <w:rsid w:val="00697430"/>
    <w:rsid w:val="006B4740"/>
    <w:rsid w:val="006C0AF3"/>
    <w:rsid w:val="006D535A"/>
    <w:rsid w:val="00735FED"/>
    <w:rsid w:val="00820A2B"/>
    <w:rsid w:val="00840855"/>
    <w:rsid w:val="0087489A"/>
    <w:rsid w:val="008D483B"/>
    <w:rsid w:val="008E69F5"/>
    <w:rsid w:val="008F6C0E"/>
    <w:rsid w:val="00973002"/>
    <w:rsid w:val="009A1C1E"/>
    <w:rsid w:val="009D2712"/>
    <w:rsid w:val="009F7252"/>
    <w:rsid w:val="00A23C2F"/>
    <w:rsid w:val="00A5285C"/>
    <w:rsid w:val="00AE3551"/>
    <w:rsid w:val="00AE608B"/>
    <w:rsid w:val="00B17BE3"/>
    <w:rsid w:val="00B336F8"/>
    <w:rsid w:val="00B87BC0"/>
    <w:rsid w:val="00BD7206"/>
    <w:rsid w:val="00BF42C2"/>
    <w:rsid w:val="00C202BC"/>
    <w:rsid w:val="00C23190"/>
    <w:rsid w:val="00CB03D1"/>
    <w:rsid w:val="00CD31EA"/>
    <w:rsid w:val="00D02366"/>
    <w:rsid w:val="00D566AA"/>
    <w:rsid w:val="00D619B0"/>
    <w:rsid w:val="00D7556C"/>
    <w:rsid w:val="00D97994"/>
    <w:rsid w:val="00E438DF"/>
    <w:rsid w:val="00EA2701"/>
    <w:rsid w:val="00F01D1B"/>
    <w:rsid w:val="00F635DE"/>
    <w:rsid w:val="00F7551C"/>
    <w:rsid w:val="00F868A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25</cp:revision>
  <cp:lastPrinted>2021-05-24T08:25:00Z</cp:lastPrinted>
  <dcterms:created xsi:type="dcterms:W3CDTF">2021-01-22T04:41:00Z</dcterms:created>
  <dcterms:modified xsi:type="dcterms:W3CDTF">2021-05-26T06:07:00Z</dcterms:modified>
</cp:coreProperties>
</file>