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7A117F" w:rsidRPr="007A117F">
        <w:rPr>
          <w:rFonts w:ascii="Times New Roman" w:hAnsi="Times New Roman" w:cs="Times New Roman"/>
          <w:sz w:val="28"/>
          <w:szCs w:val="28"/>
        </w:rPr>
        <w:t>«Продление срока действия договора аренды земельного участка, заключение договора аренды земельного участка на новый срок»</w:t>
      </w:r>
      <w:r w:rsidR="007A11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117D"/>
    <w:rsid w:val="006020DA"/>
    <w:rsid w:val="00687303"/>
    <w:rsid w:val="00691589"/>
    <w:rsid w:val="007513E6"/>
    <w:rsid w:val="007963B5"/>
    <w:rsid w:val="00796EDC"/>
    <w:rsid w:val="007A117F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22</cp:revision>
  <cp:lastPrinted>2015-05-14T06:52:00Z</cp:lastPrinted>
  <dcterms:created xsi:type="dcterms:W3CDTF">2015-03-31T05:14:00Z</dcterms:created>
  <dcterms:modified xsi:type="dcterms:W3CDTF">2015-05-14T06:53:00Z</dcterms:modified>
</cp:coreProperties>
</file>