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Федеральной Корпорацией по развитию малого и среднего предпринимательства совместно с Минэкономразвития РФ и Банком России разработана Программа льготного кредитования субъектов малого и среднего предпринимательства, реализующих проекты в приоритетных отраслях.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Размер кредита от 5 млн. рублей, срок кредитования до 3 лет, процентная ставка 10,6% годовых - для малых предприятий; 9,6% годовых - для средних предприятий.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Участие в Программе в настоящее время принимают 39 российский банков (в том числе: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Сбербанк, Банк ВТБ,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Россельхозбанк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Промсвязьбанк, АЛЬФА-БАНК, РОСБАНК, Банк Москвы, Банк «ФК Открытие», Кубань Кредит и др.).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Также «МСП» Банк» предоставляет льготные кредиты субъектам малого и среднего предпринимательства для целей инвестиционного финансирования и финансирования оборотного капитала. Срок кредитования до 7 лет, размер кредита от 1 до 500 млн. рублей.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В случае недостаточности залогового обеспечения предприниматели могут воспользоваться поручительством Гарантийного фонда Краснодарского края. Максимальный лимит гарантийной поддержки - 25 млн. рублей.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При потребности дополнительного залогового обеспечения в размере свыше 25 млн. рублей гарантийную поддержку оказывают АО «Федеральная Корпорация по развитию малого и среднего предпринимательства» и АО «МСП Банк».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4"/>
          <w:rFonts w:ascii="Tahoma" w:hAnsi="Tahoma" w:cs="Tahoma"/>
          <w:color w:val="333333"/>
          <w:sz w:val="18"/>
          <w:szCs w:val="18"/>
        </w:rPr>
        <w:t>По вопросам участия в программах кредитования и гарантийной поддержки предприниматели могут обращаться по бесплатному телефону горячей линии Центра поддержки предпринимательства 8-800-707-07-11.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Кредитные продукты МСП Банка по «Программе 6,5»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дств пр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и реализации проектов в приоритетных отраслях экономики.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1.     Инвестиционный проект                                           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Финансирование инвестиций, направленных на создание или приобретение основных средств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25-500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84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Малый бизнес: 10,1%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годовых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Средний бизнес: 9,1%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т.ч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финансирование оборотного капитала (не более 30% от величины кредита).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2.     Инвестиционный кредит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Финансирование инвестиций, направленных на создание или приобретение основных средств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10-25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60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Малый бизнес: 10,1%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годовых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Средний бизнес: 9,1%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 xml:space="preserve">Средства могут быть направлены на приобретение основных средств (не менее 70% от совокупной величины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кредита) и на покрытие текущих расходов,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т.ч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финансирование оборотного капитала (не более 30% от величины кредита).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3.     Приоритет — Оборотный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Пополнение оборотных средств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25-250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36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Малый бизнес: 10,6%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годовых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Средний бизнес: 9,6%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4.     Экспресс — Оборотный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Пополнение оборотных средств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10-25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12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Малый бизнес: 10,6%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годовых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Средний бизнес: 9,6%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5.     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Госконтракт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— Оборотный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Финансирование расходов, связанных с исполнением контрактов в рамках федеральных законов №44-ФЗ и №223-ФЗ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10-250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36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Малый бизнес: 10,6%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годовых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Средний бизнес: 9,6%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u w:val="single"/>
        </w:rPr>
        <w:t>Цель кредита</w:t>
      </w:r>
      <w:r>
        <w:rPr>
          <w:rFonts w:ascii="Tahoma" w:hAnsi="Tahoma" w:cs="Tahoma"/>
          <w:color w:val="333333"/>
          <w:sz w:val="18"/>
          <w:szCs w:val="18"/>
        </w:rPr>
        <w:t> - финансирование расходов, связанных с исполнением контрактов в рамках федеральных законов №44-ФЗ и №223-ФЗ.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При сумме кредита до 25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рублей в залог берутся только будущие поступления по контракту.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u w:val="single"/>
        </w:rPr>
        <w:t>Сумма кредита </w:t>
      </w:r>
      <w:r>
        <w:rPr>
          <w:rFonts w:ascii="Tahoma" w:hAnsi="Tahoma" w:cs="Tahoma"/>
          <w:color w:val="333333"/>
          <w:sz w:val="18"/>
          <w:szCs w:val="18"/>
        </w:rPr>
        <w:t xml:space="preserve">– от 10 до 250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u w:val="single"/>
        </w:rPr>
        <w:t>Срок кредита</w:t>
      </w:r>
      <w:r>
        <w:rPr>
          <w:rFonts w:ascii="Tahoma" w:hAnsi="Tahoma" w:cs="Tahoma"/>
          <w:color w:val="333333"/>
          <w:sz w:val="18"/>
          <w:szCs w:val="18"/>
        </w:rPr>
        <w:t> – не более 36 месяцев, но не более срока действия контракта, увеличенного на 90 дней.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6. Экспресс на текущие цели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Пополнение оборотных средств, финансирование текущей деятельности, уплату налогов и другие платежи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1-5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12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12,5% годовых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  <w:t>Д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ля женщин-предпринимателей – 10,6%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>
        <w:rPr>
          <w:rFonts w:ascii="Tahoma" w:hAnsi="Tahoma" w:cs="Tahoma"/>
          <w:color w:val="333333"/>
          <w:sz w:val="18"/>
          <w:szCs w:val="18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- консультационной поддержки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через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Бизнес-навигатор МСП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7.     Экспресс на инвестиции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Финансирование инвестиций, направленных на создание или приобретение основных средств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Сумма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1-15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руб.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Срок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 36 месяцев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Ставка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12,5% годовых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  <w:t>Д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ля женщин-предпринимателей – 10,6% годовых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>
        <w:rPr>
          <w:rFonts w:ascii="Tahoma" w:hAnsi="Tahoma" w:cs="Tahoma"/>
          <w:color w:val="333333"/>
          <w:sz w:val="18"/>
          <w:szCs w:val="18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- консультационной поддержки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через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Бизнес-навигатор МСП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 кредита - финансирование инвестиций:</w:t>
      </w:r>
      <w:r>
        <w:rPr>
          <w:rFonts w:ascii="Tahoma" w:hAnsi="Tahoma" w:cs="Tahoma"/>
          <w:color w:val="333333"/>
          <w:sz w:val="18"/>
          <w:szCs w:val="18"/>
        </w:rPr>
        <w:br/>
        <w:t>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>
        <w:rPr>
          <w:rFonts w:ascii="Tahoma" w:hAnsi="Tahoma" w:cs="Tahoma"/>
          <w:color w:val="333333"/>
          <w:sz w:val="18"/>
          <w:szCs w:val="18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  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 Программе стимулирования кредитования субъектов МСП  участвуют следующие уполномоченные банки: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1. АО «Альфа-Банк»;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2. Банк ВТБ (ПАО);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3. ПАО Банк ЗЕНИТ;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4. АО «Банк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Интеза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5. ПАО «Банк «Санкт-Петербург»;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6. Банк «Возрождение» (ПАО);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7. ВТБ 24 (ПАО);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8. Банк ГПБ (АО);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9. ПАО «Запсибкомбанк»;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10. КБ «Кубань Кредит»;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11. ПАО «НБД-Банк»;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12. РНКБ (ПАО);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13. АО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Россельхозбанк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14. ТКБ БАНК ПАО;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15. АО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ЮниКредит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16. ПАО «СКБ-банк»;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17. Банк «Левобережный» (ПАО);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18. «СИБСОЦБАНК» ООО;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19. ПАО Банк «Кузнецкий»;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20. ПАО Банк «ФК Открытие»;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21. ПАО Сбербанк;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22. ПАО «Промсвязьбанк»;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23. АКБ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Алмазэргиэнбанк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 АО;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24. АО «Райффайзенбанк»;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25. ПАО Росбанк;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26. АКБ «ЭНЕРГОБАНК» (ПАО);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27. ООО КБЭР «Банк Казани»;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28. ООО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Камкомбанк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29. ПАО «НИКО-БАНК»;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30. ПАО АКБ «Урал ФД»;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31. АО «МСП Банк».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32. АО «ГЕНБАНК»;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33. ПАО «АК БАРС» БАНК;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34. АО "БАНК ОРЕНБУРГ";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35. ООО КБ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Алтайкапиталбанк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36. ПАО 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C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КБ Приморья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Примсоцбанк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37. АКБ 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РосЕвроБанк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» (АО);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38. ПАО «ВИТАБАНК»;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39. ПАО «БИНБАНК».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</w:p>
    <w:p w:rsidR="00A631C7" w:rsidRDefault="00A631C7" w:rsidP="00A631C7">
      <w:pPr>
        <w:pStyle w:val="a3"/>
        <w:spacing w:before="0" w:beforeAutospacing="0" w:after="30" w:afterAutospacing="0" w:line="216" w:lineRule="atLeast"/>
        <w:rPr>
          <w:rFonts w:ascii="Tahoma" w:hAnsi="Tahoma" w:cs="Tahoma"/>
          <w:color w:val="333333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b/>
            <w:bCs/>
            <w:color w:val="252525"/>
            <w:sz w:val="18"/>
            <w:szCs w:val="18"/>
          </w:rPr>
          <w:t>Презентация</w:t>
        </w:r>
      </w:hyperlink>
      <w:r>
        <w:rPr>
          <w:rStyle w:val="a4"/>
          <w:rFonts w:ascii="Tahoma" w:hAnsi="Tahoma" w:cs="Tahoma"/>
          <w:color w:val="333333"/>
          <w:sz w:val="18"/>
          <w:szCs w:val="18"/>
        </w:rPr>
        <w:t> Программы 6,5</w:t>
      </w:r>
    </w:p>
    <w:p w:rsidR="00E173C6" w:rsidRDefault="00E173C6">
      <w:bookmarkStart w:id="0" w:name="_GoBack"/>
      <w:bookmarkEnd w:id="0"/>
    </w:p>
    <w:sectPr w:rsidR="00E1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2"/>
    <w:rsid w:val="006F11E2"/>
    <w:rsid w:val="00A631C7"/>
    <w:rsid w:val="00E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1C7"/>
    <w:rPr>
      <w:b/>
      <w:bCs/>
    </w:rPr>
  </w:style>
  <w:style w:type="character" w:styleId="a5">
    <w:name w:val="Hyperlink"/>
    <w:basedOn w:val="a0"/>
    <w:uiPriority w:val="99"/>
    <w:semiHidden/>
    <w:unhideWhenUsed/>
    <w:rsid w:val="00A6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1C7"/>
    <w:rPr>
      <w:b/>
      <w:bCs/>
    </w:rPr>
  </w:style>
  <w:style w:type="character" w:styleId="a5">
    <w:name w:val="Hyperlink"/>
    <w:basedOn w:val="a0"/>
    <w:uiPriority w:val="99"/>
    <w:semiHidden/>
    <w:unhideWhenUsed/>
    <w:rsid w:val="00A6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nskoi-raion.ru/%D0%9F%D1%80%D0%B5%D0%B7%D0%B5%D0%BD%D1%82%D0%B0%D1%86%D0%B8%D1%8F%20%D0%9F%D1%80%D0%BE%D0%B3%D1%80%D0%B0%D0%BC%D0%BC%D1%8B%206,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2017-07-06T08:48:00Z</dcterms:created>
  <dcterms:modified xsi:type="dcterms:W3CDTF">2017-07-06T08:49:00Z</dcterms:modified>
</cp:coreProperties>
</file>